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3F07CD4A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075">
        <w:rPr>
          <w:rFonts w:ascii="Times New Roman" w:hAnsi="Times New Roman" w:cs="Times New Roman"/>
          <w:bCs/>
          <w:sz w:val="24"/>
          <w:szCs w:val="24"/>
        </w:rPr>
        <w:t>Audyt innowacyjności i analiza ścieżek rozwoju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5BB06477" w14:textId="7D634731" w:rsidR="00977075" w:rsidRPr="00431954" w:rsidRDefault="00977075" w:rsidP="00977075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□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31954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31954">
              <w:rPr>
                <w:rFonts w:ascii="Times New Roman" w:hAnsi="Times New Roman"/>
                <w:szCs w:val="20"/>
              </w:rPr>
              <w:t>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m-cy</w:t>
            </w:r>
          </w:p>
          <w:p w14:paraId="2AD41C6F" w14:textId="2653AACA" w:rsidR="00977075" w:rsidRDefault="00977075" w:rsidP="00977075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□ </w:t>
            </w: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 1</w:t>
            </w:r>
            <w:r>
              <w:rPr>
                <w:rFonts w:ascii="Times New Roman" w:hAnsi="Times New Roman"/>
                <w:szCs w:val="20"/>
              </w:rPr>
              <w:t>9-24</w:t>
            </w:r>
            <w:r w:rsidRPr="00431954">
              <w:rPr>
                <w:rFonts w:ascii="Times New Roman" w:hAnsi="Times New Roman"/>
                <w:szCs w:val="20"/>
              </w:rPr>
              <w:t xml:space="preserve"> m-cy </w:t>
            </w:r>
          </w:p>
          <w:p w14:paraId="0163893E" w14:textId="355F79E5" w:rsidR="00977075" w:rsidRPr="00977075" w:rsidRDefault="00977075" w:rsidP="00977075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□ </w:t>
            </w:r>
            <w:r>
              <w:rPr>
                <w:rFonts w:ascii="Times New Roman" w:hAnsi="Times New Roman"/>
                <w:szCs w:val="20"/>
              </w:rPr>
              <w:t>20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m-cy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\</w:t>
            </w:r>
          </w:p>
          <w:p w14:paraId="264DEAC4" w14:textId="6AF205C8" w:rsidR="00A14DA5" w:rsidRPr="0055666A" w:rsidRDefault="00C37473" w:rsidP="00977075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>Należy z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ałączyć stosowny dokument</w:t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– KRS lub wypis z CEDIG oraz AKREDYTACJĘ lub inny, poświadczający spełnienie definicji Usługodawcy wg. Regulaminu konkursu na stronie </w:t>
            </w:r>
            <w:r w:rsidRPr="00C37473">
              <w:rPr>
                <w:rFonts w:ascii="Times New Roman" w:hAnsi="Times New Roman"/>
                <w:b/>
                <w:i/>
                <w:sz w:val="22"/>
                <w:szCs w:val="24"/>
              </w:rPr>
              <w:t>https://vouchery.spinno.pl</w:t>
            </w:r>
          </w:p>
        </w:tc>
      </w:tr>
      <w:tr w:rsidR="00A14DA5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46CD75FF" w:rsidR="00A14DA5" w:rsidRDefault="0097707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>
              <w:rPr>
                <w:rFonts w:ascii="Times New Roman" w:hAnsi="Times New Roman"/>
                <w:szCs w:val="20"/>
              </w:rPr>
              <w:t xml:space="preserve">posiada doświadczenie w realizacji usług doradczych o charakterze usług proinnowacyjnych, wykonanych w ciągu ostatnich 4 lat na rzecz przedsiębiorstw z sektora MŚP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761" w:type="dxa"/>
            <w:shd w:val="clear" w:color="auto" w:fill="auto"/>
          </w:tcPr>
          <w:p w14:paraId="7CA1543C" w14:textId="77777777" w:rsidR="00977075" w:rsidRDefault="00977075" w:rsidP="00977075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□ </w:t>
            </w: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</w:t>
            </w:r>
          </w:p>
          <w:p w14:paraId="6248C3C8" w14:textId="77777777" w:rsidR="00977075" w:rsidRDefault="00977075" w:rsidP="00977075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□ </w:t>
            </w: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6 - 15 usług doradczych</w:t>
            </w:r>
          </w:p>
          <w:p w14:paraId="1E0C71EF" w14:textId="563249DF" w:rsidR="00CC20EF" w:rsidRPr="00977075" w:rsidRDefault="00977075" w:rsidP="00977075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977075">
              <w:rPr>
                <w:rFonts w:ascii="Times New Roman" w:hAnsi="Times New Roman" w:cs="Times New Roman"/>
                <w:szCs w:val="20"/>
              </w:rPr>
              <w:t xml:space="preserve">□ </w:t>
            </w:r>
            <w:r w:rsidRPr="00977075">
              <w:rPr>
                <w:rFonts w:ascii="Times New Roman" w:hAnsi="Times New Roman"/>
                <w:szCs w:val="20"/>
              </w:rPr>
              <w:t>20 pkt. 16 lub więcej usług doradczych</w:t>
            </w:r>
          </w:p>
          <w:p w14:paraId="31304441" w14:textId="77C22EDC" w:rsidR="00A14DA5" w:rsidRPr="00CC20EF" w:rsidRDefault="00C37473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Należy z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ałączyć </w:t>
            </w:r>
            <w:r w:rsidR="00977075">
              <w:rPr>
                <w:rFonts w:ascii="Times New Roman" w:hAnsi="Times New Roman"/>
                <w:b/>
                <w:i/>
                <w:sz w:val="22"/>
                <w:szCs w:val="24"/>
              </w:rPr>
              <w:t>dokumenty potwierdzające wykonanie usług: protokoły, referencje, faktury itp.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</w:t>
      </w:r>
      <w:r w:rsidRPr="00C51A97">
        <w:rPr>
          <w:rFonts w:ascii="Times New Roman" w:hAnsi="Times New Roman" w:cs="Times New Roman"/>
        </w:rPr>
        <w:lastRenderedPageBreak/>
        <w:t>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8A77" w14:textId="77777777" w:rsidR="00C7421C" w:rsidRDefault="00C7421C" w:rsidP="00A14DA5">
      <w:pPr>
        <w:spacing w:after="0" w:line="240" w:lineRule="auto"/>
      </w:pPr>
      <w:r>
        <w:separator/>
      </w:r>
    </w:p>
  </w:endnote>
  <w:endnote w:type="continuationSeparator" w:id="0">
    <w:p w14:paraId="6023D4A5" w14:textId="77777777" w:rsidR="00C7421C" w:rsidRDefault="00C7421C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60E6" w14:textId="77777777" w:rsidR="00C7421C" w:rsidRDefault="00C7421C" w:rsidP="00A14DA5">
      <w:pPr>
        <w:spacing w:after="0" w:line="240" w:lineRule="auto"/>
      </w:pPr>
      <w:r>
        <w:separator/>
      </w:r>
    </w:p>
  </w:footnote>
  <w:footnote w:type="continuationSeparator" w:id="0">
    <w:p w14:paraId="593B4E68" w14:textId="77777777" w:rsidR="00C7421C" w:rsidRDefault="00C7421C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B35DF"/>
    <w:rsid w:val="004F4BB8"/>
    <w:rsid w:val="005E008F"/>
    <w:rsid w:val="006C0A6A"/>
    <w:rsid w:val="006C4C7B"/>
    <w:rsid w:val="00754AA6"/>
    <w:rsid w:val="0076254F"/>
    <w:rsid w:val="00776CF3"/>
    <w:rsid w:val="007A4D4A"/>
    <w:rsid w:val="007D182C"/>
    <w:rsid w:val="008665D8"/>
    <w:rsid w:val="008F04F0"/>
    <w:rsid w:val="008F48C9"/>
    <w:rsid w:val="0095389A"/>
    <w:rsid w:val="00977075"/>
    <w:rsid w:val="009E5BEC"/>
    <w:rsid w:val="00A0479E"/>
    <w:rsid w:val="00A14DA5"/>
    <w:rsid w:val="00A434DF"/>
    <w:rsid w:val="00A90C36"/>
    <w:rsid w:val="00C37473"/>
    <w:rsid w:val="00C7421C"/>
    <w:rsid w:val="00CA13E2"/>
    <w:rsid w:val="00CC20EF"/>
    <w:rsid w:val="00D138C9"/>
    <w:rsid w:val="00D75FD2"/>
    <w:rsid w:val="00DE1D91"/>
    <w:rsid w:val="00E04948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customStyle="1" w:styleId="resize-text">
    <w:name w:val="resize-text"/>
    <w:basedOn w:val="Domylnaczcionkaakapitu"/>
    <w:qFormat/>
    <w:rsid w:val="0097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Mariusz Piasecki</cp:lastModifiedBy>
  <cp:revision>4</cp:revision>
  <dcterms:created xsi:type="dcterms:W3CDTF">2022-12-21T16:19:00Z</dcterms:created>
  <dcterms:modified xsi:type="dcterms:W3CDTF">2022-12-21T16:29:00Z</dcterms:modified>
</cp:coreProperties>
</file>