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 w:rsidRPr="00A43D46">
        <w:rPr>
          <w:rFonts w:ascii="Times New Roman" w:hAnsi="Times New Roman" w:cs="Times New Roman"/>
          <w:b/>
          <w:sz w:val="20"/>
          <w:szCs w:val="20"/>
        </w:rPr>
        <w:t xml:space="preserve">FORMULARZ 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DANE IDENTYFIKUJĄCE</w:t>
      </w:r>
      <w:r w:rsidR="00535F3A">
        <w:rPr>
          <w:rFonts w:ascii="Times New Roman" w:hAnsi="Times New Roman" w:cs="Times New Roman"/>
          <w:b/>
          <w:sz w:val="20"/>
          <w:szCs w:val="20"/>
        </w:rPr>
        <w:t xml:space="preserve"> USŁUGODAWCĘ - </w:t>
      </w:r>
      <w:r w:rsidR="00B0169D">
        <w:rPr>
          <w:rFonts w:ascii="Times New Roman" w:hAnsi="Times New Roman" w:cs="Times New Roman"/>
          <w:b/>
          <w:sz w:val="20"/>
          <w:szCs w:val="20"/>
        </w:rPr>
        <w:t>INSTYTUCJĘ OTOCZENIA BIZNESU</w:t>
      </w:r>
      <w:r w:rsidR="00535F3A">
        <w:rPr>
          <w:rFonts w:ascii="Times New Roman" w:hAnsi="Times New Roman" w:cs="Times New Roman"/>
          <w:b/>
          <w:sz w:val="20"/>
          <w:szCs w:val="20"/>
        </w:rPr>
        <w:t>/ UCZELNIĘ WYŻSZĄ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2167C7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0340F0">
              <w:rPr>
                <w:rFonts w:ascii="Times New Roman" w:hAnsi="Times New Roman" w:cs="Times New Roman"/>
                <w:szCs w:val="20"/>
              </w:rPr>
              <w:t>instytucji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968" w:type="dxa"/>
            <w:shd w:val="clear" w:color="auto" w:fill="auto"/>
          </w:tcPr>
          <w:p w:rsidR="0005183D" w:rsidRPr="00A43D46" w:rsidRDefault="001558C4" w:rsidP="00DD0F7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B02ABB">
              <w:rPr>
                <w:rFonts w:cstheme="minorHAnsi"/>
                <w:szCs w:val="20"/>
              </w:rPr>
              <w:t>Politechnika Świętokrzyska</w:t>
            </w:r>
          </w:p>
        </w:tc>
      </w:tr>
      <w:bookmarkEnd w:id="1"/>
      <w:tr w:rsidR="0005183D" w:rsidRPr="00A43D46" w:rsidTr="002167C7">
        <w:trPr>
          <w:trHeight w:val="492"/>
        </w:trPr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968" w:type="dxa"/>
            <w:shd w:val="clear" w:color="auto" w:fill="auto"/>
          </w:tcPr>
          <w:p w:rsidR="0005183D" w:rsidRPr="00A43D46" w:rsidRDefault="001558C4" w:rsidP="00DD0F7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theme="minorHAnsi"/>
                <w:szCs w:val="20"/>
              </w:rPr>
              <w:t>Justyna Bonar</w:t>
            </w:r>
          </w:p>
        </w:tc>
      </w:tr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05183D" w:rsidRPr="00A43D46" w:rsidRDefault="001558C4" w:rsidP="00DD0F7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theme="minorHAnsi"/>
                <w:szCs w:val="20"/>
              </w:rPr>
              <w:t>41 34 24 471</w:t>
            </w:r>
          </w:p>
        </w:tc>
      </w:tr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325580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Strona www/ </w:t>
            </w:r>
            <w:r w:rsidR="0005183D"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1558C4" w:rsidRPr="00A41A2F" w:rsidRDefault="00967E12" w:rsidP="001558C4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Cs w:val="20"/>
              </w:rPr>
            </w:pPr>
            <w:hyperlink r:id="rId8" w:history="1">
              <w:r w:rsidR="001558C4" w:rsidRPr="00A41A2F">
                <w:rPr>
                  <w:rStyle w:val="Hipercze"/>
                  <w:rFonts w:cstheme="minorHAnsi"/>
                  <w:szCs w:val="20"/>
                </w:rPr>
                <w:t>https://ott.tu.kielce.pl/</w:t>
              </w:r>
            </w:hyperlink>
          </w:p>
          <w:p w:rsidR="0005183D" w:rsidRPr="00A43D46" w:rsidRDefault="001558C4" w:rsidP="001558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1A2F">
              <w:rPr>
                <w:rFonts w:cstheme="minorHAnsi"/>
                <w:szCs w:val="20"/>
              </w:rPr>
              <w:t>jbonar@tu.kielce.pl</w:t>
            </w:r>
          </w:p>
        </w:tc>
      </w:tr>
    </w:tbl>
    <w:p w:rsidR="0005183D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05183D" w:rsidRPr="00A43D46" w:rsidTr="00742F9A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:rsidR="0005183D" w:rsidRPr="00765879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4161B3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4161B3" w:rsidRPr="00A43D46" w:rsidRDefault="004161B3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Kraj</w:t>
            </w:r>
          </w:p>
        </w:tc>
        <w:tc>
          <w:tcPr>
            <w:tcW w:w="6572" w:type="dxa"/>
            <w:shd w:val="clear" w:color="auto" w:fill="auto"/>
          </w:tcPr>
          <w:p w:rsidR="004161B3" w:rsidRPr="001558C4" w:rsidRDefault="001558C4" w:rsidP="00DD0F7C">
            <w:pPr>
              <w:pStyle w:val="Akapitzlist"/>
              <w:spacing w:after="0" w:line="240" w:lineRule="auto"/>
              <w:ind w:left="0"/>
              <w:rPr>
                <w:rFonts w:cstheme="minorHAnsi"/>
                <w:szCs w:val="20"/>
              </w:rPr>
            </w:pPr>
            <w:r w:rsidRPr="001558C4">
              <w:rPr>
                <w:rFonts w:cstheme="minorHAnsi"/>
                <w:szCs w:val="20"/>
              </w:rPr>
              <w:t>Polska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A43D46" w:rsidRDefault="0005183D" w:rsidP="00DD0F7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:rsidR="0005183D" w:rsidRPr="001558C4" w:rsidRDefault="001558C4" w:rsidP="00DD0F7C">
            <w:pPr>
              <w:pStyle w:val="Akapitzlist"/>
              <w:spacing w:after="0" w:line="240" w:lineRule="auto"/>
              <w:ind w:left="0"/>
              <w:rPr>
                <w:rFonts w:cstheme="minorHAnsi"/>
                <w:szCs w:val="20"/>
              </w:rPr>
            </w:pPr>
            <w:r w:rsidRPr="001558C4">
              <w:rPr>
                <w:rFonts w:cstheme="minorHAnsi"/>
                <w:szCs w:val="20"/>
              </w:rPr>
              <w:t>świętokrzyskie</w:t>
            </w:r>
          </w:p>
        </w:tc>
      </w:tr>
      <w:tr w:rsidR="001558C4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  <w:r>
              <w:rPr>
                <w:rFonts w:ascii="Times New Roman" w:hAnsi="Times New Roman" w:cs="Times New Roman"/>
                <w:szCs w:val="20"/>
              </w:rPr>
              <w:t>/ Powiat</w:t>
            </w:r>
          </w:p>
        </w:tc>
        <w:tc>
          <w:tcPr>
            <w:tcW w:w="6572" w:type="dxa"/>
            <w:shd w:val="clear" w:color="auto" w:fill="auto"/>
          </w:tcPr>
          <w:p w:rsidR="001558C4" w:rsidRPr="00B02ABB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Cs w:val="20"/>
              </w:rPr>
            </w:pPr>
            <w:r w:rsidRPr="00B02ABB">
              <w:rPr>
                <w:rFonts w:cstheme="minorHAnsi"/>
                <w:szCs w:val="20"/>
              </w:rPr>
              <w:t>Kielce</w:t>
            </w:r>
          </w:p>
        </w:tc>
      </w:tr>
      <w:tr w:rsidR="001558C4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Cs w:val="20"/>
              </w:rPr>
              <w:t>/ Kod pocztowy</w:t>
            </w:r>
          </w:p>
        </w:tc>
        <w:tc>
          <w:tcPr>
            <w:tcW w:w="6572" w:type="dxa"/>
            <w:shd w:val="clear" w:color="auto" w:fill="auto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B02ABB">
              <w:rPr>
                <w:rFonts w:cstheme="minorHAnsi"/>
                <w:szCs w:val="20"/>
              </w:rPr>
              <w:t>25-314 Kielce</w:t>
            </w:r>
          </w:p>
        </w:tc>
      </w:tr>
      <w:tr w:rsidR="001558C4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1558C4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lokalu</w:t>
            </w:r>
          </w:p>
        </w:tc>
        <w:tc>
          <w:tcPr>
            <w:tcW w:w="6572" w:type="dxa"/>
            <w:shd w:val="clear" w:color="auto" w:fill="auto"/>
          </w:tcPr>
          <w:p w:rsidR="001558C4" w:rsidRPr="001558C4" w:rsidRDefault="001558C4" w:rsidP="001558C4">
            <w:pPr>
              <w:pStyle w:val="Akapitzlist"/>
              <w:spacing w:after="0" w:line="240" w:lineRule="auto"/>
              <w:ind w:left="0"/>
              <w:rPr>
                <w:rFonts w:cstheme="minorHAnsi"/>
                <w:szCs w:val="20"/>
              </w:rPr>
            </w:pPr>
            <w:r w:rsidRPr="001558C4">
              <w:rPr>
                <w:rFonts w:cstheme="minorHAnsi"/>
                <w:szCs w:val="20"/>
              </w:rPr>
              <w:t>al. Tysiąclecia Państwa Polskiego 7</w:t>
            </w:r>
          </w:p>
        </w:tc>
      </w:tr>
      <w:tr w:rsidR="001558C4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:rsidR="001558C4" w:rsidRPr="001558C4" w:rsidRDefault="001558C4" w:rsidP="001558C4">
            <w:pPr>
              <w:pStyle w:val="Akapitzlist"/>
              <w:spacing w:after="0" w:line="240" w:lineRule="auto"/>
              <w:ind w:left="0"/>
              <w:rPr>
                <w:rFonts w:cstheme="minorHAnsi"/>
                <w:szCs w:val="20"/>
              </w:rPr>
            </w:pPr>
            <w:r w:rsidRPr="001558C4">
              <w:rPr>
                <w:rFonts w:cstheme="minorHAnsi"/>
                <w:szCs w:val="20"/>
              </w:rPr>
              <w:t>PL 657-000-97-74</w:t>
            </w:r>
          </w:p>
        </w:tc>
      </w:tr>
      <w:tr w:rsidR="001558C4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rozpoczęcia działalności (zgodnie z dokumentem rejestrowym)</w:t>
            </w:r>
          </w:p>
        </w:tc>
        <w:tc>
          <w:tcPr>
            <w:tcW w:w="6572" w:type="dxa"/>
            <w:shd w:val="clear" w:color="auto" w:fill="auto"/>
          </w:tcPr>
          <w:p w:rsidR="001558C4" w:rsidRPr="00A43D46" w:rsidRDefault="001558C4" w:rsidP="001558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theme="minorHAnsi"/>
                <w:szCs w:val="20"/>
              </w:rPr>
              <w:t>Politechnika Świętokrzyska została utworzona na mocy Rozporządzenia Rady Ministrów z dnia 03.06.1965 r.</w:t>
            </w: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BB2FE3" w:rsidRDefault="000340F0" w:rsidP="0068775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687750">
        <w:rPr>
          <w:rFonts w:ascii="Times New Roman" w:hAnsi="Times New Roman" w:cs="Times New Roman"/>
          <w:b/>
          <w:sz w:val="20"/>
          <w:szCs w:val="20"/>
        </w:rPr>
        <w:t xml:space="preserve">DOTYCHCZASOWEJ </w:t>
      </w:r>
      <w:r>
        <w:rPr>
          <w:rFonts w:ascii="Times New Roman" w:hAnsi="Times New Roman" w:cs="Times New Roman"/>
          <w:b/>
          <w:sz w:val="20"/>
          <w:szCs w:val="20"/>
        </w:rPr>
        <w:t>DZIAŁALNOŚCI</w:t>
      </w:r>
      <w:r w:rsidR="00535F3A">
        <w:rPr>
          <w:rFonts w:ascii="Times New Roman" w:hAnsi="Times New Roman" w:cs="Times New Roman"/>
          <w:b/>
          <w:sz w:val="20"/>
          <w:szCs w:val="20"/>
        </w:rPr>
        <w:t xml:space="preserve"> USŁUGODAWCY - INSTYTUCJI OTOCZENIA BIZNESU/ UCZELNI WYŻSZEJ </w:t>
      </w:r>
      <w:r w:rsidR="0005183D" w:rsidRPr="00535F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2BDD" w:rsidRPr="00535F3A">
        <w:rPr>
          <w:rFonts w:ascii="Times New Roman" w:hAnsi="Times New Roman" w:cs="Times New Roman"/>
          <w:sz w:val="20"/>
          <w:szCs w:val="20"/>
        </w:rPr>
        <w:t>(</w:t>
      </w:r>
      <w:r w:rsidR="00535F3A" w:rsidRPr="00535F3A">
        <w:rPr>
          <w:rFonts w:ascii="Times New Roman" w:hAnsi="Times New Roman" w:cs="Times New Roman"/>
          <w:sz w:val="20"/>
          <w:szCs w:val="20"/>
        </w:rPr>
        <w:t xml:space="preserve"> do 5 000 znaków,</w:t>
      </w:r>
      <w:r w:rsidR="00CC2BDD" w:rsidRPr="00535F3A">
        <w:rPr>
          <w:rFonts w:ascii="Times New Roman" w:hAnsi="Times New Roman" w:cs="Times New Roman"/>
          <w:sz w:val="20"/>
          <w:szCs w:val="20"/>
        </w:rPr>
        <w:t xml:space="preserve"> </w:t>
      </w:r>
      <w:r w:rsidR="00687750">
        <w:rPr>
          <w:rFonts w:ascii="Times New Roman" w:hAnsi="Times New Roman" w:cs="Times New Roman"/>
          <w:sz w:val="20"/>
          <w:szCs w:val="20"/>
        </w:rPr>
        <w:t xml:space="preserve">opisać doświadczenie działalności na rynku, w tym m.in. w realizacji min. 5 usług doradczych na rzecz MŚP w okresie ostatnich 3 lat, dodatkowo jeśli dotyczy opisać </w:t>
      </w:r>
      <w:r w:rsidR="00CC2BDD" w:rsidRPr="00535F3A">
        <w:rPr>
          <w:rFonts w:ascii="Times New Roman" w:hAnsi="Times New Roman" w:cs="Times New Roman"/>
          <w:sz w:val="20"/>
          <w:szCs w:val="20"/>
        </w:rPr>
        <w:t>posiadane licencje, akredytacje, certyfikaty lub inny dokument poświadczający uprawnienia podmiotu do świadczenia usług  doradczych)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486"/>
      </w:tblGrid>
      <w:tr w:rsidR="0005183D" w:rsidRPr="00384BA1" w:rsidTr="00DD0F7C">
        <w:trPr>
          <w:trHeight w:val="2550"/>
        </w:trPr>
        <w:tc>
          <w:tcPr>
            <w:tcW w:w="9072" w:type="dxa"/>
            <w:shd w:val="clear" w:color="auto" w:fill="auto"/>
          </w:tcPr>
          <w:p w:rsidR="001558C4" w:rsidRPr="00A41A2F" w:rsidRDefault="001558C4" w:rsidP="001558C4">
            <w:pPr>
              <w:jc w:val="both"/>
              <w:rPr>
                <w:rFonts w:cstheme="minorHAnsi"/>
                <w:szCs w:val="20"/>
              </w:rPr>
            </w:pPr>
            <w:bookmarkStart w:id="2" w:name="_Hlk1385659"/>
            <w:r w:rsidRPr="00A41A2F">
              <w:rPr>
                <w:rFonts w:cstheme="minorHAnsi"/>
                <w:szCs w:val="20"/>
              </w:rPr>
              <w:t>Politechnika Świętokrzyska jest jedyną publiczną uczelnią techniczną w województwie świętokrzyskim. Prowadzi działalność dydaktyczną i naukową na 5 wydziałach:</w:t>
            </w:r>
          </w:p>
          <w:p w:rsidR="001558C4" w:rsidRPr="00A41A2F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 xml:space="preserve">Budownictwa i Architektury, </w:t>
            </w:r>
          </w:p>
          <w:p w:rsidR="001558C4" w:rsidRPr="00A41A2F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>Elektroniki, Automatyki i Informatyki,</w:t>
            </w:r>
          </w:p>
          <w:p w:rsidR="001558C4" w:rsidRPr="00A41A2F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 xml:space="preserve">Inżynierii Środowiska, </w:t>
            </w:r>
            <w:proofErr w:type="spellStart"/>
            <w:r w:rsidRPr="00A41A2F">
              <w:rPr>
                <w:rFonts w:cstheme="minorHAnsi"/>
                <w:szCs w:val="20"/>
              </w:rPr>
              <w:t>Geomatyki</w:t>
            </w:r>
            <w:proofErr w:type="spellEnd"/>
            <w:r w:rsidRPr="00A41A2F">
              <w:rPr>
                <w:rFonts w:cstheme="minorHAnsi"/>
                <w:szCs w:val="20"/>
              </w:rPr>
              <w:t xml:space="preserve"> i Energetyki,</w:t>
            </w:r>
          </w:p>
          <w:p w:rsidR="001558C4" w:rsidRPr="00A41A2F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>Mechatroniki i Budowy Maszyn,</w:t>
            </w:r>
          </w:p>
          <w:p w:rsidR="001558C4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>Zarządzania i Modelowania Komputerowego</w:t>
            </w:r>
          </w:p>
          <w:p w:rsidR="001558C4" w:rsidRPr="00D94D82" w:rsidRDefault="001558C4" w:rsidP="001558C4">
            <w:pPr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lastRenderedPageBreak/>
              <w:t xml:space="preserve">Uczelnia kształci obecnie około 6 000 studentów na 19 kierunkach i ponad 60 specjalnościach. </w:t>
            </w:r>
            <w:r>
              <w:rPr>
                <w:rFonts w:cstheme="minorHAnsi"/>
                <w:szCs w:val="20"/>
              </w:rPr>
              <w:t>Politechnika Świętokrzyska</w:t>
            </w:r>
            <w:r w:rsidRPr="00A41A2F">
              <w:rPr>
                <w:rFonts w:cstheme="minorHAnsi"/>
                <w:szCs w:val="20"/>
              </w:rPr>
              <w:t xml:space="preserve"> posiada uprawnienia do nadawania stopnia naukowego doktora nauk techni</w:t>
            </w:r>
            <w:r w:rsidR="00FC2D9E">
              <w:rPr>
                <w:rFonts w:cstheme="minorHAnsi"/>
                <w:szCs w:val="20"/>
              </w:rPr>
              <w:t>cznych w siedmiu dyscyplinach: automatyka i robotyka, budownictwo,</w:t>
            </w:r>
            <w:r w:rsidRPr="00A41A2F">
              <w:rPr>
                <w:rFonts w:cstheme="minorHAnsi"/>
                <w:szCs w:val="20"/>
              </w:rPr>
              <w:t xml:space="preserve"> inżynieri</w:t>
            </w:r>
            <w:r w:rsidR="00FC2D9E">
              <w:rPr>
                <w:rFonts w:cstheme="minorHAnsi"/>
                <w:szCs w:val="20"/>
              </w:rPr>
              <w:t xml:space="preserve">a środowiska, elektrotechnika,  mechanika, </w:t>
            </w:r>
            <w:r w:rsidRPr="00A41A2F">
              <w:rPr>
                <w:rFonts w:cstheme="minorHAnsi"/>
                <w:szCs w:val="20"/>
              </w:rPr>
              <w:t>budowa i eksploatacja mas</w:t>
            </w:r>
            <w:r w:rsidR="00FC2D9E">
              <w:rPr>
                <w:rFonts w:cstheme="minorHAnsi"/>
                <w:szCs w:val="20"/>
              </w:rPr>
              <w:t>zyn oraz inżynieria produkcji oraz u</w:t>
            </w:r>
            <w:r w:rsidRPr="00A41A2F">
              <w:rPr>
                <w:rFonts w:cstheme="minorHAnsi"/>
                <w:szCs w:val="20"/>
              </w:rPr>
              <w:t>prawnienia do nadawania stopnia naukowego doktora habilitowanego nauk technicz</w:t>
            </w:r>
            <w:r w:rsidR="00FC2D9E">
              <w:rPr>
                <w:rFonts w:cstheme="minorHAnsi"/>
                <w:szCs w:val="20"/>
              </w:rPr>
              <w:t xml:space="preserve">nych w czterech dyscyplinach: -budowa i eksploatacja maszyn,  budownictwo, </w:t>
            </w:r>
            <w:r w:rsidRPr="00A41A2F">
              <w:rPr>
                <w:rFonts w:cstheme="minorHAnsi"/>
                <w:szCs w:val="20"/>
              </w:rPr>
              <w:t xml:space="preserve"> elektrotechnika, inżynieria środowiska. Politechnika jest uczelnią w pełni akademicką oferując studia I, II i III stopnia. </w:t>
            </w:r>
          </w:p>
          <w:p w:rsidR="001558C4" w:rsidRPr="00A41A2F" w:rsidRDefault="001558C4" w:rsidP="001558C4">
            <w:pPr>
              <w:spacing w:before="100" w:beforeAutospacing="1" w:after="100" w:afterAutospacing="1"/>
              <w:jc w:val="both"/>
              <w:rPr>
                <w:rFonts w:cstheme="minorHAnsi"/>
                <w:szCs w:val="20"/>
              </w:rPr>
            </w:pPr>
            <w:r w:rsidRPr="00A41A2F">
              <w:rPr>
                <w:rFonts w:cstheme="minorHAnsi"/>
                <w:szCs w:val="20"/>
              </w:rPr>
              <w:t xml:space="preserve">Politechnika Świętokrzyska </w:t>
            </w:r>
            <w:r>
              <w:rPr>
                <w:rFonts w:cstheme="minorHAnsi"/>
                <w:szCs w:val="20"/>
              </w:rPr>
              <w:t>jest uczelnią</w:t>
            </w:r>
            <w:r w:rsidR="00FC2D9E">
              <w:rPr>
                <w:rFonts w:cstheme="minorHAnsi"/>
                <w:szCs w:val="20"/>
              </w:rPr>
              <w:t xml:space="preserve"> nowoczesną</w:t>
            </w:r>
            <w:r w:rsidRPr="00A41A2F">
              <w:rPr>
                <w:rFonts w:cstheme="minorHAnsi"/>
                <w:szCs w:val="20"/>
              </w:rPr>
              <w:t xml:space="preserve">, która dysponuje ponad 70 laboratoriami wyposażonymi w wysokiej jakości aparaturę badawczą oraz ponad </w:t>
            </w:r>
            <w:r w:rsidR="00FC2D9E">
              <w:rPr>
                <w:rFonts w:cstheme="minorHAnsi"/>
                <w:szCs w:val="20"/>
              </w:rPr>
              <w:t xml:space="preserve">300 </w:t>
            </w:r>
            <w:r w:rsidRPr="00A41A2F">
              <w:rPr>
                <w:rFonts w:cstheme="minorHAnsi"/>
                <w:szCs w:val="20"/>
              </w:rPr>
              <w:t>ekspertami z wielu dziedzin, co umożliwia świadczenie szerokiego wachlarza wysokiej jakości usług dla przemysłu. Ponadto Politechnika  Świętokrzyska współpracuje z wieloma instytucjami otoczenia biznesu, w tym m.in. Staropolską Izbą Przemysłowo–Handlową, Kieleckim Parkiem Technologicznym oraz Świętokrzyskim Centrum Innowacji i Transferu Technologii.</w:t>
            </w:r>
          </w:p>
          <w:p w:rsidR="001558C4" w:rsidRPr="00A41A2F" w:rsidRDefault="001558C4" w:rsidP="001558C4">
            <w:pPr>
              <w:jc w:val="both"/>
              <w:rPr>
                <w:rFonts w:cstheme="minorHAnsi"/>
                <w:kern w:val="24"/>
                <w:szCs w:val="20"/>
              </w:rPr>
            </w:pPr>
            <w:r w:rsidRPr="00A41A2F">
              <w:rPr>
                <w:rFonts w:cstheme="minorHAnsi"/>
                <w:kern w:val="24"/>
                <w:szCs w:val="20"/>
              </w:rPr>
              <w:t xml:space="preserve">W 2017 r. na Politechnice utworzono </w:t>
            </w:r>
            <w:r w:rsidRPr="00A41A2F">
              <w:rPr>
                <w:rFonts w:cstheme="minorHAnsi"/>
                <w:color w:val="000000" w:themeColor="text1"/>
                <w:kern w:val="24"/>
                <w:szCs w:val="20"/>
              </w:rPr>
              <w:t>Ośrodek Transferu Technologii (OTT) PŚk</w:t>
            </w:r>
            <w:r w:rsidRPr="00A41A2F">
              <w:rPr>
                <w:rFonts w:cstheme="minorHAnsi"/>
                <w:kern w:val="24"/>
                <w:szCs w:val="20"/>
              </w:rPr>
              <w:t xml:space="preserve">, </w:t>
            </w:r>
            <w:r w:rsidRPr="00A41A2F">
              <w:rPr>
                <w:rFonts w:cstheme="minorHAnsi"/>
                <w:color w:val="000000" w:themeColor="text1"/>
                <w:kern w:val="24"/>
                <w:szCs w:val="20"/>
              </w:rPr>
              <w:t xml:space="preserve">jako </w:t>
            </w:r>
            <w:r w:rsidRPr="00A41A2F">
              <w:rPr>
                <w:rFonts w:cstheme="minorHAnsi"/>
                <w:kern w:val="24"/>
                <w:szCs w:val="20"/>
              </w:rPr>
              <w:t xml:space="preserve">punkt kontaktowy dla wszystkich przedsiębiorców, niezależnie od tematyki i formy oczekiwanej współpracy. </w:t>
            </w:r>
            <w:r w:rsidRPr="00A41A2F">
              <w:rPr>
                <w:rFonts w:cstheme="minorHAnsi"/>
                <w:color w:val="000000" w:themeColor="text1"/>
                <w:kern w:val="24"/>
                <w:szCs w:val="20"/>
              </w:rPr>
              <w:t xml:space="preserve">Zadaniem OTT jest udostępnianie przedsiębiorcom potencjału naukowo-badawczego i infrastruktury PŚk. </w:t>
            </w:r>
            <w:r w:rsidRPr="00A41A2F">
              <w:rPr>
                <w:rFonts w:cstheme="minorHAnsi"/>
                <w:szCs w:val="20"/>
              </w:rPr>
              <w:t>OTT pośredniczy w realizacji prac doradczych, usługowych, badawczo-rozwojowych i wdrożeniowych zlecanych wydziałom i jednostkom międzywydziałowym Uczelni przez podmioty zewnętrzne. OTT odpowiada na zapytania ofertowe, negocjuje warunki, opracowuje umowy oraz dba o ich prawidłową realizację</w:t>
            </w:r>
            <w:r w:rsidRPr="00A41A2F">
              <w:rPr>
                <w:rFonts w:cstheme="minorHAnsi"/>
                <w:kern w:val="24"/>
                <w:szCs w:val="20"/>
              </w:rPr>
              <w:t xml:space="preserve">. </w:t>
            </w:r>
          </w:p>
          <w:p w:rsidR="001558C4" w:rsidRPr="00A41A2F" w:rsidRDefault="001558C4" w:rsidP="001558C4">
            <w:pPr>
              <w:jc w:val="both"/>
              <w:rPr>
                <w:rFonts w:cstheme="minorHAnsi"/>
                <w:bCs/>
                <w:szCs w:val="20"/>
              </w:rPr>
            </w:pPr>
            <w:r w:rsidRPr="00A41A2F">
              <w:rPr>
                <w:rFonts w:eastAsia="Times New Roman" w:cstheme="minorHAnsi"/>
                <w:szCs w:val="20"/>
              </w:rPr>
              <w:t xml:space="preserve">Od stycznia 2016 r. do kwietnia 2019 r. Politechnika Świętokrzyska podpisała 746 umów z przedsiębiorcami na wykonanie m.in. usług, badań i analiz, z tego </w:t>
            </w:r>
            <w:r w:rsidRPr="00FC2D9E">
              <w:rPr>
                <w:rFonts w:eastAsia="Times New Roman" w:cstheme="minorHAnsi"/>
                <w:b/>
                <w:color w:val="000000" w:themeColor="text1"/>
                <w:szCs w:val="20"/>
              </w:rPr>
              <w:t>118</w:t>
            </w:r>
            <w:r w:rsidRPr="00FC2D9E">
              <w:rPr>
                <w:rFonts w:eastAsia="Times New Roman" w:cstheme="minorHAnsi"/>
                <w:szCs w:val="20"/>
              </w:rPr>
              <w:t xml:space="preserve"> </w:t>
            </w:r>
            <w:r w:rsidRPr="00A41A2F">
              <w:rPr>
                <w:rFonts w:eastAsia="Times New Roman" w:cstheme="minorHAnsi"/>
                <w:szCs w:val="20"/>
              </w:rPr>
              <w:t>usług doradczych (</w:t>
            </w:r>
            <w:r w:rsidRPr="00A41A2F">
              <w:rPr>
                <w:rFonts w:eastAsia="Times New Roman" w:cstheme="minorHAnsi"/>
                <w:b/>
                <w:szCs w:val="20"/>
              </w:rPr>
              <w:t>opinie o innowacyjności i ekspertyzy</w:t>
            </w:r>
            <w:r w:rsidRPr="00A41A2F">
              <w:rPr>
                <w:rFonts w:eastAsia="Times New Roman" w:cstheme="minorHAnsi"/>
                <w:szCs w:val="20"/>
              </w:rPr>
              <w:t xml:space="preserve">). </w:t>
            </w:r>
          </w:p>
          <w:p w:rsidR="001558C4" w:rsidRPr="00A41A2F" w:rsidRDefault="001558C4" w:rsidP="001558C4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  <w:lang w:eastAsia="en-US"/>
              </w:rPr>
            </w:pPr>
            <w:r w:rsidRPr="00A41A2F">
              <w:rPr>
                <w:rFonts w:asciiTheme="minorHAnsi" w:hAnsiTheme="minorHAnsi" w:cstheme="minorHAnsi"/>
                <w:sz w:val="20"/>
                <w:szCs w:val="20"/>
              </w:rPr>
              <w:t xml:space="preserve">Politechnika Świętokrzyska posiada </w:t>
            </w:r>
            <w:r w:rsidRPr="00A41A2F"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  <w:lang w:eastAsia="en-US"/>
              </w:rPr>
              <w:t>dwa akredytowane laboratoria</w:t>
            </w:r>
            <w:r w:rsidRPr="00A41A2F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 xml:space="preserve">: </w:t>
            </w:r>
            <w:r w:rsidRPr="00A41A2F"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  <w:lang w:eastAsia="en-US"/>
              </w:rPr>
              <w:t>Akredytowane Laboratorium Elektrotechniki Pojazdowej oraz Akredytowane Laboratorium Materiałów Drogowych. Ponadto trzy laboratoria są w trakcie procesu akredytacji.</w:t>
            </w:r>
          </w:p>
          <w:p w:rsidR="0005183D" w:rsidRPr="00384BA1" w:rsidRDefault="001558C4" w:rsidP="00FC2D9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1A2F">
              <w:rPr>
                <w:rFonts w:cstheme="minorHAnsi"/>
                <w:szCs w:val="20"/>
              </w:rPr>
              <w:t>Politechnika Świętokrzyska chroni własność przemysłową, która powstaje w ramach prac badawczo-rozwojowych wykonywanych przez jej pracowników i prowadzi działania zmierzające do jej komercjalizacji. W okresie od stycznia 2016 r. do kwietnia 2019 r. Politechnika Świętokrzyska zgłosiła do ochrony do Urzędu Patentowego RP</w:t>
            </w:r>
            <w:r w:rsidR="00FC2D9E">
              <w:rPr>
                <w:rFonts w:cstheme="minorHAnsi"/>
                <w:szCs w:val="20"/>
              </w:rPr>
              <w:t>:</w:t>
            </w:r>
            <w:r w:rsidRPr="00A41A2F">
              <w:rPr>
                <w:rFonts w:cstheme="minorHAnsi"/>
                <w:szCs w:val="20"/>
              </w:rPr>
              <w:t xml:space="preserve"> </w:t>
            </w:r>
            <w:r w:rsidRPr="00A41A2F">
              <w:rPr>
                <w:rFonts w:cstheme="minorHAnsi"/>
                <w:bCs/>
                <w:szCs w:val="20"/>
              </w:rPr>
              <w:t>67</w:t>
            </w:r>
            <w:r w:rsidRPr="00A41A2F">
              <w:rPr>
                <w:rFonts w:cstheme="minorHAnsi"/>
                <w:szCs w:val="20"/>
              </w:rPr>
              <w:t xml:space="preserve"> wynalazków, </w:t>
            </w:r>
            <w:r w:rsidRPr="00A41A2F">
              <w:rPr>
                <w:rFonts w:cstheme="minorHAnsi"/>
                <w:bCs/>
                <w:szCs w:val="20"/>
              </w:rPr>
              <w:t>16</w:t>
            </w:r>
            <w:r w:rsidRPr="00A41A2F">
              <w:rPr>
                <w:rFonts w:cstheme="minorHAnsi"/>
                <w:szCs w:val="20"/>
              </w:rPr>
              <w:t xml:space="preserve"> wzorów użytkowych i </w:t>
            </w:r>
            <w:r w:rsidRPr="00A41A2F">
              <w:rPr>
                <w:rFonts w:cstheme="minorHAnsi"/>
                <w:bCs/>
                <w:szCs w:val="20"/>
              </w:rPr>
              <w:t>21</w:t>
            </w:r>
            <w:r w:rsidRPr="00A41A2F">
              <w:rPr>
                <w:rFonts w:cstheme="minorHAnsi"/>
                <w:szCs w:val="20"/>
              </w:rPr>
              <w:t xml:space="preserve"> wzorów przemysłowych</w:t>
            </w:r>
            <w:r w:rsidR="005C6C50">
              <w:rPr>
                <w:rFonts w:cstheme="minorHAnsi"/>
                <w:szCs w:val="20"/>
              </w:rPr>
              <w:t>.</w:t>
            </w:r>
          </w:p>
        </w:tc>
      </w:tr>
      <w:bookmarkEnd w:id="2"/>
    </w:tbl>
    <w:p w:rsidR="005E5999" w:rsidRPr="00384BA1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EC2653" w:rsidRPr="00384BA1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84BA1">
        <w:rPr>
          <w:rFonts w:ascii="Times New Roman" w:hAnsi="Times New Roman" w:cs="Times New Roman"/>
          <w:b/>
          <w:sz w:val="20"/>
          <w:szCs w:val="20"/>
        </w:rPr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0209F2" w:rsidP="00384BA1">
            <w:pPr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="006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Usługodawca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 w obszarze inteligentnych specjalizacji województwa świętokrzyskiego wskazanych </w:t>
            </w:r>
            <w:r w:rsid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dokumencie: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2A3" w:rsidRPr="00D65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Uszczegółowienie inteligentnych specjalizacji Województwa Świętokrzyskiego</w:t>
            </w:r>
            <w:r w:rsidR="00D652A3" w:rsidRP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(dostępny na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internetowej: </w:t>
            </w:r>
            <w:hyperlink r:id="rId9" w:history="1">
              <w:r w:rsidR="003616EB" w:rsidRPr="009E25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1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0F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C2653" w:rsidRPr="00384BA1" w:rsidRDefault="00EC2653" w:rsidP="00DD0F7C">
            <w:pPr>
              <w:ind w:left="-10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zaznaczyć właściwe n/w pozycj</w:t>
            </w:r>
            <w:r w:rsidR="00384BA1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1558C4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Zasobooszczędne</w:t>
            </w:r>
            <w:proofErr w:type="spellEnd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1558C4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Przemysł metalowo-odlewniczy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Nowoczesne rolnictwo i przetwórstwo spożywcze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Turystyka zdrowotna i prozdrowotna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1558C4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" w:char="F0FE"/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Technologie informacyjno-komunikacyjne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Branża targowo-kongresowa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1558C4" w:rsidP="00DD0F7C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Zrównoważony rozwój energetyczny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384BA1" w:rsidRDefault="00EC2653" w:rsidP="001558C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1558C4">
              <w:rPr>
                <w:rFonts w:cstheme="minorHAnsi"/>
                <w:sz w:val="20"/>
                <w:szCs w:val="20"/>
              </w:rPr>
              <w:t>Należy uzasadnić dokonany wybór</w:t>
            </w:r>
            <w:r w:rsidR="00BB2FE3" w:rsidRPr="001558C4">
              <w:rPr>
                <w:rFonts w:cstheme="minorHAnsi"/>
                <w:sz w:val="20"/>
                <w:szCs w:val="20"/>
              </w:rPr>
              <w:t xml:space="preserve"> (do 3 000 znaków)</w:t>
            </w:r>
            <w:r w:rsidRPr="001558C4">
              <w:rPr>
                <w:rFonts w:cstheme="minorHAnsi"/>
                <w:sz w:val="20"/>
                <w:szCs w:val="20"/>
              </w:rPr>
              <w:t>:</w:t>
            </w:r>
          </w:p>
          <w:p w:rsidR="001558C4" w:rsidRPr="001558C4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1558C4">
              <w:rPr>
                <w:sz w:val="20"/>
                <w:szCs w:val="20"/>
              </w:rPr>
              <w:t xml:space="preserve">Wydział Inżynierii Środowiska, </w:t>
            </w:r>
            <w:proofErr w:type="spellStart"/>
            <w:r w:rsidRPr="001558C4">
              <w:rPr>
                <w:sz w:val="20"/>
                <w:szCs w:val="20"/>
              </w:rPr>
              <w:t>Geomatyki</w:t>
            </w:r>
            <w:proofErr w:type="spellEnd"/>
            <w:r w:rsidRPr="001558C4">
              <w:rPr>
                <w:sz w:val="20"/>
                <w:szCs w:val="20"/>
              </w:rPr>
              <w:t xml:space="preserve"> i Energetyki działa w obszarach </w:t>
            </w:r>
            <w:proofErr w:type="spellStart"/>
            <w:r w:rsidRPr="001558C4">
              <w:rPr>
                <w:sz w:val="20"/>
                <w:szCs w:val="20"/>
              </w:rPr>
              <w:t>zasobooszczędnego</w:t>
            </w:r>
            <w:proofErr w:type="spellEnd"/>
            <w:r w:rsidRPr="001558C4">
              <w:rPr>
                <w:sz w:val="20"/>
                <w:szCs w:val="20"/>
              </w:rPr>
              <w:t xml:space="preserve"> budownictwa i zrównoważonego </w:t>
            </w:r>
            <w:proofErr w:type="spellStart"/>
            <w:r w:rsidRPr="001558C4">
              <w:rPr>
                <w:sz w:val="20"/>
                <w:szCs w:val="20"/>
              </w:rPr>
              <w:t>rozwóju</w:t>
            </w:r>
            <w:proofErr w:type="spellEnd"/>
            <w:r w:rsidRPr="001558C4">
              <w:rPr>
                <w:sz w:val="20"/>
                <w:szCs w:val="20"/>
              </w:rPr>
              <w:t xml:space="preserve"> energetycznego. Główne kierunki badań związane są m.in. z technologią wody i ścieków, gospodarką wodno-ściekową, utylizacją i zagospodarowaniem odpadów, ograniczaniem migracji zanieczyszczeń w środowisku, geotechniką, geotechniki termicznej, badaniami procesów sedymentacji osadów w zbiornikach retencyjnych,  oceną stanu technicznego budowli i urządzeń wodnych,  ogrzewnictwem, wentylacją, klimatyzacją, wodociągami, instalacjami sanitarnymi, kanalizacją , fizyką budowli, badaniami skuteczności wymiany powietrza w pomieszczeniach, pozyskiwaniem energii ze źródeł odnawialnych, oceną efektywności </w:t>
            </w:r>
            <w:proofErr w:type="spellStart"/>
            <w:r w:rsidRPr="001558C4">
              <w:rPr>
                <w:sz w:val="20"/>
                <w:szCs w:val="20"/>
              </w:rPr>
              <w:t>mikroturbin</w:t>
            </w:r>
            <w:proofErr w:type="spellEnd"/>
            <w:r w:rsidRPr="001558C4">
              <w:rPr>
                <w:sz w:val="20"/>
                <w:szCs w:val="20"/>
              </w:rPr>
              <w:t xml:space="preserve"> i urządzeń wodnych, efektywności pozyskiwania energii z gruntowych wymienników ciepła oraz małych elektrowni wiatrowych, wyceny, zarządzania i obrotu nieruchomościami, inżynierii środowiska, architekturze, urbanistyce i innych dziedzinach gospodarki.</w:t>
            </w:r>
          </w:p>
          <w:p w:rsidR="001558C4" w:rsidRPr="001558C4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1558C4">
              <w:rPr>
                <w:sz w:val="20"/>
                <w:szCs w:val="20"/>
              </w:rPr>
              <w:t xml:space="preserve">Wydział Elektrotechniki, Automatyki i Informatyki działa w obszarach technologii </w:t>
            </w:r>
            <w:proofErr w:type="spellStart"/>
            <w:r w:rsidRPr="001558C4">
              <w:rPr>
                <w:sz w:val="20"/>
                <w:szCs w:val="20"/>
              </w:rPr>
              <w:t>informacyjno</w:t>
            </w:r>
            <w:proofErr w:type="spellEnd"/>
            <w:r w:rsidRPr="001558C4">
              <w:rPr>
                <w:sz w:val="20"/>
                <w:szCs w:val="20"/>
              </w:rPr>
              <w:t xml:space="preserve"> - komunikacyjnych i (technologie internetowe, systemy informacyjne, systemy wbudowane, Internet rzeczy, analityka </w:t>
            </w:r>
            <w:proofErr w:type="spellStart"/>
            <w:r w:rsidRPr="001558C4">
              <w:rPr>
                <w:sz w:val="20"/>
                <w:szCs w:val="20"/>
              </w:rPr>
              <w:t>BigData</w:t>
            </w:r>
            <w:proofErr w:type="spellEnd"/>
            <w:r w:rsidRPr="001558C4">
              <w:rPr>
                <w:sz w:val="20"/>
                <w:szCs w:val="20"/>
              </w:rPr>
              <w:t>, sztuczna inteligencja, systemy zarządzania w przedsiębiorstwach, modelowanie i optymalizacja procesów, projektowanie wyspecjalizowanych systemów obliczeniowych) oraz zrównoważonego rozwoju energetycznego (analiza gospodarki energetycznej zakładów przemysłowych, badania i ocena parametrów jakościowych energii elektrycznej, ocena niezawodności systemów energetycznych, modelowanie sieciowe niezawodności złożonych układów energetycznych i elektroenergetycznych, zarządzanie i sterowanie autonomicznymi systemami energetycznymi).</w:t>
            </w:r>
          </w:p>
          <w:p w:rsidR="001558C4" w:rsidRPr="001558C4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1558C4">
              <w:rPr>
                <w:sz w:val="20"/>
                <w:szCs w:val="20"/>
              </w:rPr>
              <w:t xml:space="preserve">Wydział Zarządzania i Modelowania Komputerowego działa w obszarach technologii informacyjno-komunikacyjnych oraz zrównoważonego rozwoju energetycznego. Wydział realizuje w ramach projektu CENWIS zadanie budowy Laboratorium Przemysłowego Niskoemisyjnych i Odnawialnych Źródeł Energii w ramach którego zajmować się będzie przygotowywaniem analiz pracy </w:t>
            </w:r>
            <w:proofErr w:type="spellStart"/>
            <w:r w:rsidRPr="001558C4">
              <w:rPr>
                <w:sz w:val="20"/>
                <w:szCs w:val="20"/>
              </w:rPr>
              <w:t>mikrosieci</w:t>
            </w:r>
            <w:proofErr w:type="spellEnd"/>
            <w:r w:rsidRPr="001558C4">
              <w:rPr>
                <w:sz w:val="20"/>
                <w:szCs w:val="20"/>
              </w:rPr>
              <w:t xml:space="preserve"> elektroenergetycznych oraz badaniami modułów fotowoltaicznych. </w:t>
            </w:r>
          </w:p>
          <w:p w:rsidR="001558C4" w:rsidRPr="001558C4" w:rsidRDefault="001558C4" w:rsidP="001558C4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1558C4">
              <w:rPr>
                <w:sz w:val="20"/>
                <w:szCs w:val="20"/>
              </w:rPr>
              <w:t xml:space="preserve">Wydział Budownictwa i Architektury działa w obszarze </w:t>
            </w:r>
            <w:proofErr w:type="spellStart"/>
            <w:r w:rsidRPr="001558C4">
              <w:rPr>
                <w:sz w:val="20"/>
                <w:szCs w:val="20"/>
              </w:rPr>
              <w:t>zasobooszczędnego</w:t>
            </w:r>
            <w:proofErr w:type="spellEnd"/>
            <w:r w:rsidRPr="001558C4">
              <w:rPr>
                <w:sz w:val="20"/>
                <w:szCs w:val="20"/>
              </w:rPr>
              <w:t xml:space="preserve"> budownictwa. Wydział dysponuje gruntownie zmodernizowaną infrastrukturą badawczą zorganizowaną w 11 specjalistycznych laboratoriach: inżynierii materiałowej, materiałów drogowych i budowy dróg, diagnostyki konstrukcji betonowych i diagnozowania obiektów, konstrukcji metalowych oraz konserwacji detalu architektonicznego. </w:t>
            </w:r>
          </w:p>
          <w:p w:rsidR="00384BA1" w:rsidRPr="00AE6DDB" w:rsidRDefault="001558C4" w:rsidP="00AE6DDB">
            <w:pPr>
              <w:pStyle w:val="Akapitzlist"/>
              <w:numPr>
                <w:ilvl w:val="0"/>
                <w:numId w:val="22"/>
              </w:numPr>
              <w:ind w:left="284" w:hanging="284"/>
              <w:jc w:val="both"/>
              <w:rPr>
                <w:rFonts w:cstheme="minorHAnsi"/>
                <w:szCs w:val="20"/>
              </w:rPr>
            </w:pPr>
            <w:r w:rsidRPr="001558C4">
              <w:rPr>
                <w:sz w:val="20"/>
                <w:szCs w:val="20"/>
              </w:rPr>
              <w:t>Wydział Mechatroniki i Budowy Maszyn działa w obszarze  przemysłu metalowo-odlewniczego. Obejmuje dziedziny związane z produkcją elementów metalowych, maszyn, urządzeń, środków transportu lądowego oraz ich części, precyzyjną obróbką metali, mechaniką, elektrotechniką i automatyką.</w:t>
            </w:r>
          </w:p>
        </w:tc>
      </w:tr>
    </w:tbl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666272" w:rsidRDefault="00666272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7D536D" w:rsidRDefault="007D536D" w:rsidP="00556FA8">
      <w:pPr>
        <w:pStyle w:val="NormalnyWeb"/>
        <w:spacing w:line="312" w:lineRule="atLeast"/>
        <w:rPr>
          <w:b/>
          <w:color w:val="000000"/>
        </w:rPr>
      </w:pPr>
      <w:bookmarkStart w:id="3" w:name="_GoBack"/>
      <w:bookmarkEnd w:id="3"/>
    </w:p>
    <w:p w:rsidR="00B84026" w:rsidRPr="00D827C5" w:rsidRDefault="00901A6D" w:rsidP="00EA57D7">
      <w:pPr>
        <w:pStyle w:val="NormalnyWeb"/>
        <w:spacing w:line="312" w:lineRule="atLeast"/>
        <w:jc w:val="center"/>
        <w:rPr>
          <w:b/>
          <w:color w:val="000000"/>
        </w:rPr>
      </w:pPr>
      <w:r w:rsidRPr="00D827C5">
        <w:rPr>
          <w:b/>
          <w:color w:val="000000"/>
        </w:rPr>
        <w:lastRenderedPageBreak/>
        <w:t>OŚWIADCZENIA</w:t>
      </w:r>
      <w:r w:rsidR="00B84026" w:rsidRPr="00D827C5">
        <w:t xml:space="preserve">  </w:t>
      </w:r>
    </w:p>
    <w:p w:rsidR="00050DC9" w:rsidRPr="00050DC9" w:rsidRDefault="00050DC9" w:rsidP="00050DC9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2"/>
          <w:szCs w:val="22"/>
        </w:rPr>
      </w:pPr>
      <w:r w:rsidRPr="00050DC9">
        <w:rPr>
          <w:sz w:val="22"/>
          <w:szCs w:val="22"/>
        </w:rPr>
        <w:t>X</w:t>
      </w:r>
      <w:r w:rsidR="00742F9A">
        <w:rPr>
          <w:b/>
          <w:sz w:val="36"/>
          <w:szCs w:val="36"/>
        </w:rPr>
        <w:t xml:space="preserve"> </w:t>
      </w:r>
      <w:r w:rsidR="008A4AAF" w:rsidRPr="00D827C5">
        <w:rPr>
          <w:color w:val="000000"/>
          <w:sz w:val="22"/>
          <w:szCs w:val="22"/>
        </w:rPr>
        <w:t>Oświadczam, że spełniam definicję Usługodawcy od co najmniej 12 miesięcy.</w:t>
      </w:r>
    </w:p>
    <w:p w:rsidR="00B84026" w:rsidRPr="00D827C5" w:rsidRDefault="00050DC9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2"/>
          <w:szCs w:val="22"/>
        </w:rPr>
      </w:pPr>
      <w:r w:rsidRPr="00050DC9">
        <w:rPr>
          <w:sz w:val="22"/>
          <w:szCs w:val="22"/>
        </w:rPr>
        <w:t>X</w:t>
      </w:r>
      <w:r w:rsidR="00742F9A">
        <w:rPr>
          <w:b/>
          <w:sz w:val="36"/>
          <w:szCs w:val="36"/>
        </w:rPr>
        <w:t xml:space="preserve"> </w:t>
      </w:r>
      <w:r w:rsidR="00B268B7" w:rsidRPr="00D827C5">
        <w:rPr>
          <w:color w:val="000000"/>
          <w:sz w:val="22"/>
          <w:szCs w:val="22"/>
        </w:rPr>
        <w:t xml:space="preserve">Oświadczam, że </w:t>
      </w:r>
      <w:r w:rsidR="00284B13" w:rsidRPr="00D827C5">
        <w:rPr>
          <w:color w:val="000000"/>
          <w:sz w:val="22"/>
          <w:szCs w:val="22"/>
        </w:rPr>
        <w:t>Usługodawca</w:t>
      </w:r>
      <w:r w:rsidR="00C447A5" w:rsidRPr="00D827C5">
        <w:rPr>
          <w:color w:val="000000"/>
          <w:sz w:val="22"/>
          <w:szCs w:val="22"/>
        </w:rPr>
        <w:t xml:space="preserve"> jest w posiadaniu strategii biznesowej, </w:t>
      </w:r>
      <w:r w:rsidR="008A4AAF" w:rsidRPr="00D827C5">
        <w:rPr>
          <w:sz w:val="22"/>
          <w:szCs w:val="22"/>
        </w:rPr>
        <w:t>i/lub planu działań uwzględniający realizację usług doradczych dla MŚP</w:t>
      </w:r>
    </w:p>
    <w:p w:rsidR="008A4AAF" w:rsidRPr="00D827C5" w:rsidRDefault="00050DC9" w:rsidP="00C447A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color w:val="000000"/>
          <w:sz w:val="22"/>
          <w:szCs w:val="22"/>
        </w:rPr>
      </w:pPr>
      <w:r w:rsidRPr="00050DC9">
        <w:rPr>
          <w:sz w:val="22"/>
          <w:szCs w:val="22"/>
        </w:rPr>
        <w:t>X</w:t>
      </w:r>
      <w:r w:rsidR="00742F9A">
        <w:rPr>
          <w:b/>
          <w:sz w:val="36"/>
          <w:szCs w:val="36"/>
        </w:rPr>
        <w:t xml:space="preserve"> </w:t>
      </w:r>
      <w:r w:rsidR="008A4AAF" w:rsidRPr="00D827C5">
        <w:rPr>
          <w:color w:val="000000"/>
          <w:sz w:val="22"/>
          <w:szCs w:val="22"/>
        </w:rPr>
        <w:t xml:space="preserve">Oświadczam, że </w:t>
      </w:r>
      <w:r w:rsidR="004A046A" w:rsidRPr="00D827C5">
        <w:rPr>
          <w:color w:val="000000"/>
          <w:sz w:val="22"/>
          <w:szCs w:val="22"/>
        </w:rPr>
        <w:t>Usługodawca</w:t>
      </w:r>
      <w:r w:rsidR="008A4AAF" w:rsidRPr="00D827C5">
        <w:rPr>
          <w:color w:val="000000"/>
          <w:sz w:val="22"/>
          <w:szCs w:val="22"/>
        </w:rPr>
        <w:t xml:space="preserve"> posiada potencjał techniczny i kadrowy niezbędny do należytego świadczenia usług </w:t>
      </w:r>
      <w:r w:rsidR="004A046A">
        <w:rPr>
          <w:color w:val="000000"/>
          <w:sz w:val="22"/>
          <w:szCs w:val="22"/>
        </w:rPr>
        <w:t>(</w:t>
      </w:r>
      <w:r w:rsidR="004A046A" w:rsidRPr="004A046A">
        <w:rPr>
          <w:i/>
          <w:color w:val="000000"/>
          <w:sz w:val="22"/>
          <w:szCs w:val="22"/>
        </w:rPr>
        <w:t xml:space="preserve">czyli </w:t>
      </w:r>
      <w:r w:rsidR="008A4AAF" w:rsidRPr="00D827C5">
        <w:rPr>
          <w:i/>
          <w:sz w:val="22"/>
          <w:szCs w:val="22"/>
        </w:rPr>
        <w:t>Usługodawca posiada osoby zdolne do wykonania zamówienia oraz posiada wyposażenie biurowe zapewniające właściwe przechowywanie dokumentacji związanej ze świadczeniem usług oraz dysponowanie urządzeniami technicznymi zapewniającymi właściwą obsługę podmiotów korzystających z usług, w szczególności sprzętem komputerowym wraz z oprogramowaniem biurowym</w:t>
      </w:r>
      <w:r w:rsidR="004A046A">
        <w:rPr>
          <w:i/>
          <w:sz w:val="22"/>
          <w:szCs w:val="22"/>
        </w:rPr>
        <w:t>)</w:t>
      </w:r>
    </w:p>
    <w:p w:rsidR="008A4AAF" w:rsidRPr="00D827C5" w:rsidRDefault="00050DC9" w:rsidP="008A4AA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color w:val="000000"/>
          <w:sz w:val="22"/>
          <w:szCs w:val="22"/>
        </w:rPr>
      </w:pPr>
      <w:r w:rsidRPr="00050DC9">
        <w:rPr>
          <w:sz w:val="22"/>
          <w:szCs w:val="22"/>
        </w:rPr>
        <w:t>X</w:t>
      </w:r>
      <w:r w:rsidR="00742F9A">
        <w:rPr>
          <w:b/>
          <w:sz w:val="36"/>
          <w:szCs w:val="36"/>
        </w:rPr>
        <w:t xml:space="preserve"> </w:t>
      </w:r>
      <w:r w:rsidR="008A4AAF" w:rsidRPr="00D827C5">
        <w:rPr>
          <w:color w:val="000000"/>
          <w:sz w:val="22"/>
          <w:szCs w:val="22"/>
        </w:rPr>
        <w:t xml:space="preserve">Oświadczam, że </w:t>
      </w:r>
      <w:r w:rsidR="004A046A" w:rsidRPr="00D827C5">
        <w:rPr>
          <w:color w:val="000000"/>
          <w:sz w:val="22"/>
          <w:szCs w:val="22"/>
        </w:rPr>
        <w:t>Usługodawca</w:t>
      </w:r>
      <w:r w:rsidR="008A4AAF" w:rsidRPr="00D827C5">
        <w:rPr>
          <w:color w:val="000000"/>
          <w:sz w:val="22"/>
          <w:szCs w:val="22"/>
        </w:rPr>
        <w:t xml:space="preserve"> posiada potencjał ekonomiczny niezbędny do należytego świadczenia usług </w:t>
      </w:r>
      <w:r w:rsidR="004A046A">
        <w:rPr>
          <w:color w:val="000000"/>
          <w:sz w:val="22"/>
          <w:szCs w:val="22"/>
        </w:rPr>
        <w:t>(</w:t>
      </w:r>
      <w:r w:rsidR="004A046A" w:rsidRPr="004A046A">
        <w:rPr>
          <w:i/>
          <w:color w:val="000000"/>
          <w:sz w:val="22"/>
          <w:szCs w:val="22"/>
        </w:rPr>
        <w:t>czyli</w:t>
      </w:r>
      <w:r w:rsidR="004A046A">
        <w:rPr>
          <w:color w:val="000000"/>
          <w:sz w:val="22"/>
          <w:szCs w:val="22"/>
        </w:rPr>
        <w:t xml:space="preserve"> </w:t>
      </w:r>
      <w:r w:rsidR="008A4AAF" w:rsidRPr="00D827C5">
        <w:rPr>
          <w:i/>
          <w:sz w:val="22"/>
          <w:szCs w:val="22"/>
        </w:rPr>
        <w:t>Podmiot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</w:r>
      <w:r w:rsidR="004A046A">
        <w:rPr>
          <w:i/>
          <w:sz w:val="22"/>
          <w:szCs w:val="22"/>
        </w:rPr>
        <w:t>)</w:t>
      </w:r>
    </w:p>
    <w:p w:rsidR="00C447A5" w:rsidRPr="00D827C5" w:rsidRDefault="00050DC9" w:rsidP="00284B13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50DC9">
        <w:rPr>
          <w:sz w:val="22"/>
          <w:szCs w:val="22"/>
        </w:rPr>
        <w:t>X</w:t>
      </w:r>
      <w:r w:rsidR="00742F9A">
        <w:rPr>
          <w:b/>
          <w:sz w:val="36"/>
          <w:szCs w:val="36"/>
        </w:rPr>
        <w:t xml:space="preserve"> </w:t>
      </w:r>
      <w:r w:rsidR="00B268B7" w:rsidRPr="00D827C5">
        <w:rPr>
          <w:color w:val="000000"/>
          <w:sz w:val="22"/>
          <w:szCs w:val="22"/>
        </w:rPr>
        <w:t xml:space="preserve">Oświadczam, że </w:t>
      </w:r>
      <w:bookmarkStart w:id="4" w:name="_Hlk536439142"/>
      <w:r w:rsidR="00284B13" w:rsidRPr="00D827C5">
        <w:rPr>
          <w:color w:val="000000"/>
          <w:sz w:val="22"/>
          <w:szCs w:val="22"/>
        </w:rPr>
        <w:t>Usługodawca zatrudnia na umowę o pracę (min. 1 etat) osobę/osoby, która/które posiada/ją doświadczenie w realizacji min. 3 usług doradczych na rzecz MŚP oraz co najmniej 2 letnie doświadczenie zawodowe w realizacji inicjatyw skierowanych do przedsiębiorców.</w:t>
      </w:r>
    </w:p>
    <w:p w:rsidR="00591180" w:rsidRDefault="00591180" w:rsidP="00591180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bookmarkStart w:id="5" w:name="_Hlk536514463"/>
      <w:bookmarkEnd w:id="4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591180" w:rsidP="002167C7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 xml:space="preserve">do reprezentowania </w:t>
      </w:r>
      <w:r w:rsidR="00D827C5">
        <w:rPr>
          <w:color w:val="000000"/>
          <w:sz w:val="20"/>
          <w:szCs w:val="20"/>
        </w:rPr>
        <w:t>Usługodawcy</w:t>
      </w:r>
      <w:bookmarkEnd w:id="5"/>
    </w:p>
    <w:p w:rsidR="00666272" w:rsidRDefault="00666272" w:rsidP="00B84026">
      <w:pPr>
        <w:pStyle w:val="NormalnyWeb"/>
        <w:spacing w:line="312" w:lineRule="atLeast"/>
        <w:jc w:val="both"/>
        <w:rPr>
          <w:color w:val="000000"/>
          <w:sz w:val="18"/>
          <w:szCs w:val="18"/>
        </w:rPr>
      </w:pPr>
    </w:p>
    <w:p w:rsidR="00666272" w:rsidRPr="00742F9A" w:rsidRDefault="00B84026" w:rsidP="00B84026">
      <w:pPr>
        <w:pStyle w:val="NormalnyWeb"/>
        <w:spacing w:line="312" w:lineRule="atLeast"/>
        <w:jc w:val="both"/>
        <w:rPr>
          <w:color w:val="000000"/>
          <w:sz w:val="18"/>
          <w:szCs w:val="18"/>
        </w:rPr>
      </w:pPr>
      <w:r w:rsidRPr="00742F9A">
        <w:rPr>
          <w:color w:val="000000"/>
          <w:sz w:val="18"/>
          <w:szCs w:val="18"/>
        </w:rPr>
        <w:t xml:space="preserve">Wyrażam zgodę na przetwarzanie danych zawartych w </w:t>
      </w:r>
      <w:r w:rsidRPr="00742F9A">
        <w:rPr>
          <w:i/>
          <w:color w:val="000000"/>
          <w:sz w:val="18"/>
          <w:szCs w:val="18"/>
        </w:rPr>
        <w:t xml:space="preserve">Formularzu </w:t>
      </w:r>
      <w:r w:rsidRPr="00742F9A">
        <w:rPr>
          <w:color w:val="000000"/>
          <w:sz w:val="18"/>
          <w:szCs w:val="18"/>
        </w:rPr>
        <w:t xml:space="preserve">dla  potrzeb  niezbędnych  do  realizacji  procesu  naboru, oceny, rozliczania, kontroli, realizacji obowiązków informacyjnych  </w:t>
      </w:r>
      <w:r w:rsidR="00D827C5" w:rsidRPr="00742F9A">
        <w:rPr>
          <w:color w:val="000000"/>
          <w:sz w:val="18"/>
          <w:szCs w:val="18"/>
        </w:rPr>
        <w:t xml:space="preserve">i </w:t>
      </w:r>
      <w:r w:rsidRPr="00742F9A">
        <w:rPr>
          <w:color w:val="000000"/>
          <w:sz w:val="18"/>
          <w:szCs w:val="18"/>
        </w:rPr>
        <w:t>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Rady (UE) 2016/679 z dnia 27 kwietnia 2016 roku oraz ustawą z dnia  10  maja  2018 roku o ochronie  danych  osobowych  (Dz.U.2018  poz. 1000)  oraz  zgodnie z poniższą klauzulą informacyjną.</w:t>
      </w:r>
    </w:p>
    <w:p w:rsidR="001650A4" w:rsidRPr="00742F9A" w:rsidRDefault="001650A4" w:rsidP="00B84026">
      <w:pPr>
        <w:pStyle w:val="NormalnyWeb"/>
        <w:spacing w:line="312" w:lineRule="atLeast"/>
        <w:jc w:val="both"/>
        <w:rPr>
          <w:color w:val="000000"/>
          <w:sz w:val="18"/>
          <w:szCs w:val="18"/>
        </w:rPr>
      </w:pPr>
      <w:r w:rsidRPr="00742F9A">
        <w:rPr>
          <w:color w:val="000000"/>
          <w:sz w:val="18"/>
          <w:szCs w:val="18"/>
        </w:rPr>
        <w:t>Zgodnie z art. 13 ust. 1 i 2 RODO informujemy, że:</w:t>
      </w:r>
    </w:p>
    <w:p w:rsidR="007B21AB" w:rsidRPr="00742F9A" w:rsidRDefault="001650A4" w:rsidP="00DD0F7C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administratorem danych osobowych jest Zarząd Województwa Świętokrzyskiego (Urząd Marszałkowski Województwa Świętokrzyskiego w Kielcach, al. IX Wieków Kielc 3, 25-516 Kielce, </w:t>
      </w:r>
    </w:p>
    <w:p w:rsidR="001650A4" w:rsidRPr="00742F9A" w:rsidRDefault="001650A4" w:rsidP="00DD0F7C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kontaktowe do inspektora ochrony danych to e-mail: </w:t>
      </w:r>
      <w:hyperlink r:id="rId10" w:history="1">
        <w:r w:rsidRPr="00742F9A">
          <w:rPr>
            <w:rStyle w:val="Hipercze"/>
            <w:rFonts w:ascii="Times New Roman" w:hAnsi="Times New Roman" w:cs="Times New Roman"/>
            <w:color w:val="1256BB"/>
            <w:sz w:val="18"/>
            <w:szCs w:val="18"/>
          </w:rPr>
          <w:t>iod@sejmik.kielce.pl</w:t>
        </w:r>
      </w:hyperlink>
      <w:r w:rsidRPr="00742F9A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652A3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osobowe są przetwarzane w celach: </w:t>
      </w:r>
      <w:bookmarkStart w:id="6" w:name="_Hlk536514508"/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projektu: </w:t>
      </w:r>
      <w:r w:rsidR="00B84026" w:rsidRPr="00742F9A">
        <w:rPr>
          <w:rFonts w:ascii="Times New Roman" w:hAnsi="Times New Roman" w:cs="Times New Roman"/>
          <w:color w:val="000000"/>
          <w:sz w:val="18"/>
          <w:szCs w:val="18"/>
        </w:rPr>
        <w:t>„Popytowy System Innowacji – rozwój MŚP w regionie świętokrzyskim poprzez profesjonalne usługi doradcze”.</w:t>
      </w:r>
    </w:p>
    <w:bookmarkEnd w:id="6"/>
    <w:p w:rsidR="001650A4" w:rsidRPr="00742F9A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lastRenderedPageBreak/>
        <w:t>p</w:t>
      </w:r>
      <w:r w:rsidR="001650A4" w:rsidRPr="00742F9A">
        <w:rPr>
          <w:rFonts w:ascii="Times New Roman" w:hAnsi="Times New Roman" w:cs="Times New Roman"/>
          <w:color w:val="000000"/>
          <w:sz w:val="18"/>
          <w:szCs w:val="18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podanie danych osobowych jest wymogiem ustawowym pozwalającym na realizację ww. celów, konsekwencją niepodania danych osobowych będzie brak możliwości aplikowania o dofinansowanie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w ramach 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projektu,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osobowe będą przechowywane przez okres wynikający z realizacji 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projektu </w:t>
      </w:r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>oraz okres wynikający</w:t>
      </w:r>
      <w:r w:rsidR="00D652A3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>z przepisów prawa dot. archiwizacji,</w:t>
      </w:r>
    </w:p>
    <w:p w:rsidR="00D652A3" w:rsidRPr="00742F9A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Wnioskodawca ma prawo żądania dostępu do treści swoich danych osobowych oraz prawo żądania ich sprostowania</w:t>
      </w:r>
      <w:r w:rsidR="00D652A3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>lub ograniczenia przetwarzania,</w:t>
      </w:r>
    </w:p>
    <w:p w:rsidR="00D652A3" w:rsidRPr="00742F9A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Wnioskodawcy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Wnioskodawcy jest art. 6, ust. 1, lit. c RODO,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Wnioskodawca ma prawo wniesienia skargi do organu nadzorczego – Prezesa Urzędu Ochrony Danych Osobowych,</w:t>
      </w:r>
    </w:p>
    <w:p w:rsidR="0005183D" w:rsidRPr="00742F9A" w:rsidRDefault="001650A4" w:rsidP="00DD0F7C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dane osobowe nie będą wykorzystywane do zautomatyzowanego podejmo</w:t>
      </w:r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>wania decyzji ani profilowania,</w:t>
      </w:r>
      <w:r w:rsidR="00D652A3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>o którym mowa w art. 22 rozporządzenia o ochronie danych osobowych.</w:t>
      </w:r>
      <w:bookmarkEnd w:id="0"/>
    </w:p>
    <w:p w:rsidR="00EA57D7" w:rsidRDefault="00EA57D7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B84026" w:rsidP="00B84026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B268B7">
        <w:rPr>
          <w:color w:val="000000"/>
          <w:sz w:val="20"/>
          <w:szCs w:val="20"/>
        </w:rPr>
        <w:t xml:space="preserve">podpis i pieczątka osoby upoważnionej 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 xml:space="preserve">do reprezentowania </w:t>
      </w:r>
      <w:r w:rsidR="00D827C5">
        <w:rPr>
          <w:color w:val="000000"/>
          <w:sz w:val="20"/>
          <w:szCs w:val="20"/>
        </w:rPr>
        <w:t>Usługodawcy</w:t>
      </w:r>
    </w:p>
    <w:p w:rsidR="00B84026" w:rsidRPr="00A57BE0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84026" w:rsidRPr="00A57BE0" w:rsidSect="00EA57D7">
      <w:headerReference w:type="default" r:id="rId11"/>
      <w:footerReference w:type="default" r:id="rId12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12" w:rsidRDefault="00967E12" w:rsidP="0005183D">
      <w:pPr>
        <w:spacing w:after="0" w:line="240" w:lineRule="auto"/>
      </w:pPr>
      <w:r>
        <w:separator/>
      </w:r>
    </w:p>
  </w:endnote>
  <w:endnote w:type="continuationSeparator" w:id="0">
    <w:p w:rsidR="00967E12" w:rsidRDefault="00967E12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218237858"/>
      <w:docPartObj>
        <w:docPartGallery w:val="Page Numbers (Bottom of Page)"/>
        <w:docPartUnique/>
      </w:docPartObj>
    </w:sdtPr>
    <w:sdtEndPr/>
    <w:sdtContent>
      <w:p w:rsidR="00F4647D" w:rsidRPr="008A4AAF" w:rsidRDefault="00F4647D" w:rsidP="008A4AAF">
        <w:pPr>
          <w:pStyle w:val="Default"/>
          <w:spacing w:line="276" w:lineRule="auto"/>
          <w:jc w:val="both"/>
          <w:rPr>
            <w:color w:val="auto"/>
            <w:sz w:val="20"/>
            <w:szCs w:val="20"/>
          </w:rPr>
        </w:pPr>
      </w:p>
      <w:p w:rsidR="00F4647D" w:rsidRDefault="00F464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CD">
          <w:rPr>
            <w:noProof/>
          </w:rPr>
          <w:t>17</w:t>
        </w:r>
        <w:r>
          <w:fldChar w:fldCharType="end"/>
        </w:r>
      </w:p>
    </w:sdtContent>
  </w:sdt>
  <w:p w:rsidR="00F4647D" w:rsidRDefault="00F46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12" w:rsidRDefault="00967E12" w:rsidP="0005183D">
      <w:pPr>
        <w:spacing w:after="0" w:line="240" w:lineRule="auto"/>
      </w:pPr>
      <w:r>
        <w:separator/>
      </w:r>
    </w:p>
  </w:footnote>
  <w:footnote w:type="continuationSeparator" w:id="0">
    <w:p w:rsidR="00967E12" w:rsidRDefault="00967E12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674"/>
      <w:gridCol w:w="2044"/>
      <w:gridCol w:w="2670"/>
    </w:tblGrid>
    <w:tr w:rsidR="00F4647D" w:rsidRPr="00CF2678" w:rsidTr="00BA7117">
      <w:tc>
        <w:tcPr>
          <w:tcW w:w="1035" w:type="pct"/>
          <w:tcMar>
            <w:left w:w="0" w:type="dxa"/>
            <w:right w:w="0" w:type="dxa"/>
          </w:tcMar>
        </w:tcPr>
        <w:p w:rsidR="00F4647D" w:rsidRPr="00CF2678" w:rsidRDefault="00F4647D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B67D513" wp14:editId="696606DA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F4647D" w:rsidRPr="00CF2678" w:rsidRDefault="00F4647D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21C7F1" wp14:editId="4D002DDC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F4647D" w:rsidRPr="00CF2678" w:rsidRDefault="00F4647D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AEC2B70" wp14:editId="714B2B58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F4647D" w:rsidRPr="00CF2678" w:rsidRDefault="00F4647D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BCACFFE" wp14:editId="5E9A3B62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47D" w:rsidRPr="00BA7117" w:rsidRDefault="00F4647D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F4647D" w:rsidRDefault="00F4647D" w:rsidP="00AF2377">
    <w:pPr>
      <w:pStyle w:val="Default"/>
      <w:jc w:val="right"/>
      <w:rPr>
        <w:i/>
        <w:sz w:val="22"/>
        <w:szCs w:val="22"/>
      </w:rPr>
    </w:pPr>
  </w:p>
  <w:p w:rsidR="00F4647D" w:rsidRPr="00AF2377" w:rsidRDefault="00F4647D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A7C"/>
    <w:multiLevelType w:val="hybridMultilevel"/>
    <w:tmpl w:val="C4048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306B"/>
    <w:multiLevelType w:val="hybridMultilevel"/>
    <w:tmpl w:val="573C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 w15:restartNumberingAfterBreak="0">
    <w:nsid w:val="1F4D02F6"/>
    <w:multiLevelType w:val="hybridMultilevel"/>
    <w:tmpl w:val="6F44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564"/>
    <w:multiLevelType w:val="hybridMultilevel"/>
    <w:tmpl w:val="77F4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3109DB"/>
    <w:multiLevelType w:val="hybridMultilevel"/>
    <w:tmpl w:val="942C0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011A8"/>
    <w:multiLevelType w:val="hybridMultilevel"/>
    <w:tmpl w:val="21063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2276D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50532"/>
    <w:multiLevelType w:val="hybridMultilevel"/>
    <w:tmpl w:val="0214F9FA"/>
    <w:lvl w:ilvl="0" w:tplc="0415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7" w15:restartNumberingAfterBreak="0">
    <w:nsid w:val="6C01241B"/>
    <w:multiLevelType w:val="hybridMultilevel"/>
    <w:tmpl w:val="9EA8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23"/>
  </w:num>
  <w:num w:numId="6">
    <w:abstractNumId w:val="8"/>
  </w:num>
  <w:num w:numId="7">
    <w:abstractNumId w:val="19"/>
  </w:num>
  <w:num w:numId="8">
    <w:abstractNumId w:val="25"/>
  </w:num>
  <w:num w:numId="9">
    <w:abstractNumId w:val="24"/>
  </w:num>
  <w:num w:numId="10">
    <w:abstractNumId w:val="15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28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20"/>
  </w:num>
  <w:num w:numId="25">
    <w:abstractNumId w:val="26"/>
  </w:num>
  <w:num w:numId="26">
    <w:abstractNumId w:val="1"/>
  </w:num>
  <w:num w:numId="27">
    <w:abstractNumId w:val="7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15C76"/>
    <w:rsid w:val="000209F2"/>
    <w:rsid w:val="000340F0"/>
    <w:rsid w:val="0003476B"/>
    <w:rsid w:val="00042009"/>
    <w:rsid w:val="000467DA"/>
    <w:rsid w:val="0004736D"/>
    <w:rsid w:val="00050DC9"/>
    <w:rsid w:val="0005183D"/>
    <w:rsid w:val="0006085D"/>
    <w:rsid w:val="00060EAB"/>
    <w:rsid w:val="000E08C6"/>
    <w:rsid w:val="000F3BF7"/>
    <w:rsid w:val="001422B2"/>
    <w:rsid w:val="001558C4"/>
    <w:rsid w:val="001650A4"/>
    <w:rsid w:val="001740A4"/>
    <w:rsid w:val="001F68D1"/>
    <w:rsid w:val="002167C7"/>
    <w:rsid w:val="00270BFC"/>
    <w:rsid w:val="00284B13"/>
    <w:rsid w:val="0028782E"/>
    <w:rsid w:val="00294199"/>
    <w:rsid w:val="002D6290"/>
    <w:rsid w:val="002F7B73"/>
    <w:rsid w:val="00325580"/>
    <w:rsid w:val="003616EB"/>
    <w:rsid w:val="00384BA1"/>
    <w:rsid w:val="003929C1"/>
    <w:rsid w:val="003B210F"/>
    <w:rsid w:val="003C2724"/>
    <w:rsid w:val="003C47B8"/>
    <w:rsid w:val="00403952"/>
    <w:rsid w:val="004161B3"/>
    <w:rsid w:val="004A046A"/>
    <w:rsid w:val="004C36E2"/>
    <w:rsid w:val="00500561"/>
    <w:rsid w:val="005242CD"/>
    <w:rsid w:val="00535F3A"/>
    <w:rsid w:val="00556FA8"/>
    <w:rsid w:val="005758EB"/>
    <w:rsid w:val="005775F2"/>
    <w:rsid w:val="00591180"/>
    <w:rsid w:val="005B15CA"/>
    <w:rsid w:val="005B5104"/>
    <w:rsid w:val="005C6C50"/>
    <w:rsid w:val="005E26C3"/>
    <w:rsid w:val="005E5999"/>
    <w:rsid w:val="0061221A"/>
    <w:rsid w:val="00655E93"/>
    <w:rsid w:val="00662AB6"/>
    <w:rsid w:val="00666272"/>
    <w:rsid w:val="00687750"/>
    <w:rsid w:val="006D2266"/>
    <w:rsid w:val="00735184"/>
    <w:rsid w:val="00742F9A"/>
    <w:rsid w:val="0076006C"/>
    <w:rsid w:val="00765879"/>
    <w:rsid w:val="00777393"/>
    <w:rsid w:val="007A4715"/>
    <w:rsid w:val="007A6AC7"/>
    <w:rsid w:val="007B21AB"/>
    <w:rsid w:val="007D536D"/>
    <w:rsid w:val="007E47D2"/>
    <w:rsid w:val="00812317"/>
    <w:rsid w:val="008344E4"/>
    <w:rsid w:val="0088683E"/>
    <w:rsid w:val="008940E3"/>
    <w:rsid w:val="008A4AAF"/>
    <w:rsid w:val="008A5F63"/>
    <w:rsid w:val="008C35CD"/>
    <w:rsid w:val="008C4272"/>
    <w:rsid w:val="008E2F8A"/>
    <w:rsid w:val="00901A6D"/>
    <w:rsid w:val="00911A75"/>
    <w:rsid w:val="00933142"/>
    <w:rsid w:val="00944507"/>
    <w:rsid w:val="00967E12"/>
    <w:rsid w:val="009E4B19"/>
    <w:rsid w:val="009F10C4"/>
    <w:rsid w:val="009F23B5"/>
    <w:rsid w:val="00A12668"/>
    <w:rsid w:val="00A30159"/>
    <w:rsid w:val="00A43D46"/>
    <w:rsid w:val="00A47DFF"/>
    <w:rsid w:val="00A57BE0"/>
    <w:rsid w:val="00A80DB3"/>
    <w:rsid w:val="00AE6DDB"/>
    <w:rsid w:val="00AF2377"/>
    <w:rsid w:val="00B0169D"/>
    <w:rsid w:val="00B12609"/>
    <w:rsid w:val="00B1592B"/>
    <w:rsid w:val="00B268B7"/>
    <w:rsid w:val="00B3378E"/>
    <w:rsid w:val="00B43CAA"/>
    <w:rsid w:val="00B84026"/>
    <w:rsid w:val="00BA7117"/>
    <w:rsid w:val="00BB2FE3"/>
    <w:rsid w:val="00C1615D"/>
    <w:rsid w:val="00C34609"/>
    <w:rsid w:val="00C42F4E"/>
    <w:rsid w:val="00C447A5"/>
    <w:rsid w:val="00C506CD"/>
    <w:rsid w:val="00C5392F"/>
    <w:rsid w:val="00C76671"/>
    <w:rsid w:val="00C95EEF"/>
    <w:rsid w:val="00CB5FB2"/>
    <w:rsid w:val="00CC2BDD"/>
    <w:rsid w:val="00CD01A1"/>
    <w:rsid w:val="00D0313E"/>
    <w:rsid w:val="00D107B5"/>
    <w:rsid w:val="00D12DAB"/>
    <w:rsid w:val="00D24298"/>
    <w:rsid w:val="00D53400"/>
    <w:rsid w:val="00D652A3"/>
    <w:rsid w:val="00D827C5"/>
    <w:rsid w:val="00D8310B"/>
    <w:rsid w:val="00DD0F7C"/>
    <w:rsid w:val="00E11AA3"/>
    <w:rsid w:val="00E2704F"/>
    <w:rsid w:val="00E43518"/>
    <w:rsid w:val="00EA57D7"/>
    <w:rsid w:val="00EA6233"/>
    <w:rsid w:val="00EC2653"/>
    <w:rsid w:val="00EC6596"/>
    <w:rsid w:val="00F4647D"/>
    <w:rsid w:val="00F5505D"/>
    <w:rsid w:val="00F55C8D"/>
    <w:rsid w:val="00F61DF7"/>
    <w:rsid w:val="00FC2D9E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A6BCF"/>
  <w15:chartTrackingRefBased/>
  <w15:docId w15:val="{47D93F12-216C-4524-88E5-E46CD62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B1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B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.tu.kielc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nno.pl/inteligentne-specjalizacje/uszczegolowienie-inteligentnych-specjalizacji-wojewodztwa-swietokrzyskieg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1792-6212-4AD5-9228-C201DBF9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Piras, Anna</cp:lastModifiedBy>
  <cp:revision>11</cp:revision>
  <cp:lastPrinted>2019-05-21T08:44:00Z</cp:lastPrinted>
  <dcterms:created xsi:type="dcterms:W3CDTF">2019-05-21T07:11:00Z</dcterms:created>
  <dcterms:modified xsi:type="dcterms:W3CDTF">2019-10-23T09:34:00Z</dcterms:modified>
</cp:coreProperties>
</file>